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FAF" w:rsidRDefault="003A4FAF" w:rsidP="00FE5140">
      <w:pPr>
        <w:pStyle w:val="Heading1"/>
      </w:pPr>
      <w:commentRangeStart w:id="0"/>
      <w:proofErr w:type="gramStart"/>
      <w:r>
        <w:t xml:space="preserve">Social signal processing for </w:t>
      </w:r>
      <w:proofErr w:type="spellStart"/>
      <w:r>
        <w:t>telemonitoring</w:t>
      </w:r>
      <w:proofErr w:type="spellEnd"/>
      <w:r>
        <w:t>.</w:t>
      </w:r>
      <w:commentRangeEnd w:id="0"/>
      <w:proofErr w:type="gramEnd"/>
      <w:r w:rsidR="00416993">
        <w:rPr>
          <w:rStyle w:val="CommentReference"/>
          <w:rFonts w:ascii="Calibri" w:hAnsi="Calibri"/>
          <w:b w:val="0"/>
          <w:bCs w:val="0"/>
          <w:color w:val="auto"/>
        </w:rPr>
        <w:commentReference w:id="0"/>
      </w:r>
    </w:p>
    <w:p w:rsidR="003A4FAF" w:rsidRDefault="003A4FAF" w:rsidP="00FE5140"/>
    <w:p w:rsidR="003A4FAF" w:rsidRDefault="003A4FAF" w:rsidP="00D57C08">
      <w:r>
        <w:t xml:space="preserve">'Social data analysis' has emerged as an approach to the collaborative interpretations of data sets using </w:t>
      </w:r>
      <w:proofErr w:type="spellStart"/>
      <w:r>
        <w:t>crowdscourcing</w:t>
      </w:r>
      <w:proofErr w:type="spellEnd"/>
      <w:r>
        <w:t xml:space="preserve"> techniques. It works by breaking an intellectual task into smaller components that can be executed by suitably recruited ‘crowds’ to create useful, accurate and diverse interpretations of large data sets beyond the capacity of individual experts to achieve. We propose a variant of this approach called Social Signal Processing (SSP) to solve the problem of accurately interpreting increasing volumes of signal data generated by a range of </w:t>
      </w:r>
      <w:proofErr w:type="spellStart"/>
      <w:r>
        <w:t>telemonitoring</w:t>
      </w:r>
      <w:proofErr w:type="spellEnd"/>
      <w:r>
        <w:t xml:space="preserve"> applications.</w:t>
      </w:r>
    </w:p>
    <w:p w:rsidR="003A4FAF" w:rsidRDefault="003A4FAF" w:rsidP="00D57C08"/>
    <w:p w:rsidR="003A4FAF" w:rsidRDefault="003A4FAF" w:rsidP="00D57C08">
      <w:r>
        <w:t>Social Signal Processing aims to:</w:t>
      </w:r>
    </w:p>
    <w:p w:rsidR="003A4FAF" w:rsidRDefault="003A4FAF" w:rsidP="00D57C08"/>
    <w:p w:rsidR="003A4FAF" w:rsidRDefault="003A4FAF" w:rsidP="00D57C08">
      <w:pPr>
        <w:pStyle w:val="ListParagraph"/>
        <w:numPr>
          <w:ilvl w:val="0"/>
          <w:numId w:val="12"/>
        </w:numPr>
      </w:pPr>
      <w:r>
        <w:t>Addresses sense-making problems occurring when data travels between different interpretative contexts (e.g. production and use) [10].</w:t>
      </w:r>
    </w:p>
    <w:p w:rsidR="003A4FAF" w:rsidRDefault="003A4FAF" w:rsidP="00D57C08">
      <w:pPr>
        <w:pStyle w:val="ListParagraph"/>
        <w:numPr>
          <w:ilvl w:val="0"/>
          <w:numId w:val="12"/>
        </w:numPr>
      </w:pPr>
      <w:r>
        <w:t>Aims to blend different expertise that is otherwise separated by contextual and professional boundaries to enable data to be useful in non-local contexts.</w:t>
      </w:r>
    </w:p>
    <w:p w:rsidR="003A4FAF" w:rsidRDefault="003A4FAF" w:rsidP="00D57C08">
      <w:pPr>
        <w:pStyle w:val="ListParagraph"/>
        <w:numPr>
          <w:ilvl w:val="0"/>
          <w:numId w:val="12"/>
        </w:numPr>
      </w:pPr>
      <w:r>
        <w:t xml:space="preserve">Tackles an increasingly important class of problems arising from a deluge of data [11] generated by (for example) medical sensors, sensor networks and scientific data streams.  </w:t>
      </w:r>
    </w:p>
    <w:p w:rsidR="003A4FAF" w:rsidRDefault="003A4FAF" w:rsidP="00D57C08"/>
    <w:p w:rsidR="003A4FAF" w:rsidRPr="00D57C08" w:rsidRDefault="003A4FAF" w:rsidP="00D57C08">
      <w:pPr>
        <w:rPr>
          <w:i/>
        </w:rPr>
      </w:pPr>
      <w:r>
        <w:rPr>
          <w:i/>
        </w:rPr>
        <w:t>Case study</w:t>
      </w:r>
      <w:r w:rsidRPr="00D57C08">
        <w:rPr>
          <w:i/>
        </w:rPr>
        <w:t xml:space="preserve">: </w:t>
      </w:r>
      <w:proofErr w:type="spellStart"/>
      <w:r>
        <w:rPr>
          <w:i/>
        </w:rPr>
        <w:t>Telemonitoring</w:t>
      </w:r>
      <w:proofErr w:type="spellEnd"/>
    </w:p>
    <w:p w:rsidR="003A4FAF" w:rsidRDefault="003A4FAF" w:rsidP="00D57C08"/>
    <w:p w:rsidR="003A4FAF" w:rsidRDefault="003A4FAF" w:rsidP="00345810">
      <w:pPr>
        <w:rPr>
          <w:rFonts w:cs="Calibri"/>
        </w:rPr>
      </w:pPr>
      <w:r>
        <w:rPr>
          <w:rFonts w:cs="Calibri"/>
        </w:rPr>
        <w:t xml:space="preserve">Raw data from </w:t>
      </w:r>
      <w:proofErr w:type="spellStart"/>
      <w:r>
        <w:rPr>
          <w:rFonts w:cs="Calibri"/>
        </w:rPr>
        <w:t>telemonitoring</w:t>
      </w:r>
      <w:proofErr w:type="spellEnd"/>
      <w:r>
        <w:rPr>
          <w:rFonts w:cs="Calibri"/>
        </w:rPr>
        <w:t xml:space="preserve"> solutions is often</w:t>
      </w:r>
      <w:r w:rsidRPr="002512C7">
        <w:rPr>
          <w:rFonts w:cs="Calibri"/>
        </w:rPr>
        <w:t xml:space="preserve"> hard to interpret by remote clinicians who lack firsthand experienc</w:t>
      </w:r>
      <w:r>
        <w:rPr>
          <w:rFonts w:cs="Calibri"/>
        </w:rPr>
        <w:t>e of its creation. Recent studies highlight how difficult it can be to establish baseline or 'normal' readings for individual patients [1] and how worrying ‘scores’ need to be verified by contacting the patient or carers to weed out false positives</w:t>
      </w:r>
      <w:r>
        <w:rPr>
          <w:rStyle w:val="FootnoteReference"/>
          <w:rFonts w:cs="Calibri"/>
        </w:rPr>
        <w:footnoteReference w:id="1"/>
      </w:r>
      <w:r>
        <w:rPr>
          <w:rFonts w:cs="Calibri"/>
        </w:rPr>
        <w:t xml:space="preserve"> [2] and prevent false negatives</w:t>
      </w:r>
      <w:r>
        <w:rPr>
          <w:rStyle w:val="FootnoteReference"/>
        </w:rPr>
        <w:footnoteReference w:id="2"/>
      </w:r>
      <w:r>
        <w:rPr>
          <w:rFonts w:cs="Calibri"/>
        </w:rPr>
        <w:t xml:space="preserve"> [4]. It is hard to mediate a connection between the patient’s physiological condition and the physician’s diagnostic skill using remote sensors and analytic software alone because processes of learning and contextualisation are </w:t>
      </w:r>
      <w:proofErr w:type="gramStart"/>
      <w:r>
        <w:rPr>
          <w:rFonts w:cs="Calibri"/>
        </w:rPr>
        <w:t>needed before data can</w:t>
      </w:r>
      <w:proofErr w:type="gramEnd"/>
      <w:r>
        <w:rPr>
          <w:rFonts w:cs="Calibri"/>
        </w:rPr>
        <w:t xml:space="preserve"> be meaningfully interpreted [4]. This poses a dilemma for </w:t>
      </w:r>
      <w:proofErr w:type="spellStart"/>
      <w:r>
        <w:rPr>
          <w:rFonts w:cs="Calibri"/>
        </w:rPr>
        <w:t>telemonitoring</w:t>
      </w:r>
      <w:proofErr w:type="spellEnd"/>
      <w:r>
        <w:rPr>
          <w:rFonts w:cs="Calibri"/>
        </w:rPr>
        <w:t xml:space="preserve"> because the ‘friction’ [5] apparent when moving data between contexts necessitate expensive workarounds compromising its ability both to deliver cost savings and to provide a scalable solution. </w:t>
      </w:r>
    </w:p>
    <w:p w:rsidR="003A4FAF" w:rsidRDefault="003A4FAF" w:rsidP="00345810">
      <w:pPr>
        <w:rPr>
          <w:rFonts w:cs="Calibri"/>
        </w:rPr>
      </w:pPr>
    </w:p>
    <w:p w:rsidR="003A4FAF" w:rsidRDefault="003A4FAF" w:rsidP="00345810">
      <w:r>
        <w:rPr>
          <w:rFonts w:cs="Calibri"/>
        </w:rPr>
        <w:t xml:space="preserve">While these basic issues remain unresolved, sensor technologies are making significant advances.  </w:t>
      </w:r>
      <w:r>
        <w:t>Wearable, self-powered sensors able to form ad-hoc networks significantly enhance the potential for gathering continuous streams of diagnostic and research data [</w:t>
      </w:r>
      <w:proofErr w:type="spellStart"/>
      <w:r>
        <w:t>Specnet</w:t>
      </w:r>
      <w:proofErr w:type="spellEnd"/>
      <w:r>
        <w:t xml:space="preserve"> reference].  Although offering the possibility of pre-emptively diagnosing rare events (e.g. cardiac events), and richer sources of data for stratifying patients into treatment groups, significant problems are posed by the interpretation and management of the high volumes of data generated. Problems of context are magnified when attempting to assign trends and patterns to either environmental or physiological causes. High data volumes threaten to overwhelm the expertise available to create interpretations leading to medico-legal hazards when overlooked illness pre-cursors present but buried in a data stream.</w:t>
      </w:r>
    </w:p>
    <w:p w:rsidR="003A4FAF" w:rsidRDefault="003A4FAF" w:rsidP="00345810">
      <w:pPr>
        <w:rPr>
          <w:rFonts w:cs="Calibri"/>
        </w:rPr>
      </w:pPr>
      <w:r>
        <w:rPr>
          <w:rFonts w:cs="Calibri"/>
        </w:rPr>
        <w:t xml:space="preserve"> </w:t>
      </w:r>
    </w:p>
    <w:p w:rsidR="003A4FAF" w:rsidRDefault="003A4FAF" w:rsidP="003E3634">
      <w:pPr>
        <w:rPr>
          <w:rFonts w:cs="Calibri"/>
        </w:rPr>
      </w:pPr>
      <w:r>
        <w:rPr>
          <w:rFonts w:cs="Calibri"/>
        </w:rPr>
        <w:t xml:space="preserve">A social signal processing solution acknowledges that interpretation of physiological data has social components and seeks from the outset to build these in to technology solutions in a scalable and integrated way, for example, by enabling the patient, their family and carers to provide a parallel stream of contextual detail that assists accurate interpretation of the </w:t>
      </w:r>
      <w:proofErr w:type="spellStart"/>
      <w:r>
        <w:rPr>
          <w:rFonts w:cs="Calibri"/>
        </w:rPr>
        <w:t>telemonitoring</w:t>
      </w:r>
      <w:proofErr w:type="spellEnd"/>
      <w:r>
        <w:rPr>
          <w:rFonts w:cs="Calibri"/>
        </w:rPr>
        <w:t xml:space="preserve"> data.  Challenges for a social signal processing approach include:</w:t>
      </w:r>
    </w:p>
    <w:p w:rsidR="003A4FAF" w:rsidRDefault="003A4FAF" w:rsidP="003E3634">
      <w:pPr>
        <w:rPr>
          <w:rFonts w:cs="Calibri"/>
        </w:rPr>
      </w:pPr>
    </w:p>
    <w:p w:rsidR="003A4FAF" w:rsidRDefault="003A4FAF" w:rsidP="00870CDF">
      <w:pPr>
        <w:pStyle w:val="ListParagraph"/>
        <w:numPr>
          <w:ilvl w:val="0"/>
          <w:numId w:val="13"/>
        </w:numPr>
        <w:rPr>
          <w:rFonts w:cs="Calibri"/>
        </w:rPr>
      </w:pPr>
      <w:commentRangeStart w:id="1"/>
      <w:r w:rsidRPr="00870CDF">
        <w:rPr>
          <w:rFonts w:cs="Calibri"/>
          <w:i/>
        </w:rPr>
        <w:lastRenderedPageBreak/>
        <w:t>Facilitating collaborative production and capture of contextual detail</w:t>
      </w:r>
      <w:r>
        <w:rPr>
          <w:rFonts w:cs="Calibri"/>
        </w:rPr>
        <w:t xml:space="preserve">. Social Data Analysis research explores methods both for motivating participation and eliciting relevant and useful crowd contributions. Strategies to maximise participation include delivering benefits such as engrossing </w:t>
      </w:r>
      <w:proofErr w:type="spellStart"/>
      <w:r>
        <w:rPr>
          <w:rFonts w:cs="Calibri"/>
        </w:rPr>
        <w:t>gameplay</w:t>
      </w:r>
      <w:proofErr w:type="spellEnd"/>
      <w:r>
        <w:rPr>
          <w:rFonts w:cs="Calibri"/>
        </w:rPr>
        <w:t xml:space="preserve">, enhanced status and financial reward.  Strategies to improve contribution quality include prompts, exemplars, iterative refinement and rating tasks [6].  We need to explore how well these strategies transfer into a Social Signal Processing context where motivation and quality become entangled with the divergent priorities and bodies of expertise of professional and lay contributors.  </w:t>
      </w:r>
      <w:commentRangeEnd w:id="1"/>
      <w:r w:rsidR="00247209">
        <w:rPr>
          <w:rStyle w:val="CommentReference"/>
        </w:rPr>
        <w:commentReference w:id="1"/>
      </w:r>
    </w:p>
    <w:p w:rsidR="003A4FAF" w:rsidRDefault="003A4FAF" w:rsidP="0071113A">
      <w:pPr>
        <w:pStyle w:val="ListParagraph"/>
        <w:ind w:left="360"/>
        <w:rPr>
          <w:rFonts w:cs="Calibri"/>
        </w:rPr>
      </w:pPr>
    </w:p>
    <w:p w:rsidR="003A4FAF" w:rsidRDefault="003A4FAF" w:rsidP="00870CDF">
      <w:pPr>
        <w:pStyle w:val="ListParagraph"/>
        <w:numPr>
          <w:ilvl w:val="0"/>
          <w:numId w:val="13"/>
        </w:numPr>
        <w:rPr>
          <w:rFonts w:cs="Calibri"/>
        </w:rPr>
      </w:pPr>
      <w:r w:rsidRPr="0071113A">
        <w:rPr>
          <w:rFonts w:cs="Calibri"/>
          <w:i/>
        </w:rPr>
        <w:t>Ensuring the validity of participant created data</w:t>
      </w:r>
      <w:r>
        <w:rPr>
          <w:rFonts w:cs="Calibri"/>
        </w:rPr>
        <w:t xml:space="preserve">. The emerging </w:t>
      </w:r>
      <w:r w:rsidR="006E1B26">
        <w:rPr>
          <w:rFonts w:cs="Calibri"/>
        </w:rPr>
        <w:t xml:space="preserve">paradigm within </w:t>
      </w:r>
      <w:r>
        <w:rPr>
          <w:rFonts w:cs="Calibri"/>
        </w:rPr>
        <w:t xml:space="preserve">social geography of ‘participant sensing’ is closely allied with the Social Signal Processing concept and has explored a series of methods for establishing data validity, including triangulation, applying ‘common sense’ rules, examining data for internal consistency, establishing the reputation of the contributor etc [7]. Again, we need to explore how these mechanisms translate to Social Signal Processing context, particularly in settings where access to resources can be at stake raising the prospect of ‘gaming’ behaviour.   </w:t>
      </w:r>
    </w:p>
    <w:p w:rsidR="003A4FAF" w:rsidRDefault="003A4FAF" w:rsidP="0071113A">
      <w:pPr>
        <w:pStyle w:val="ListParagraph"/>
        <w:ind w:left="0"/>
        <w:rPr>
          <w:rFonts w:cs="Calibri"/>
        </w:rPr>
      </w:pPr>
    </w:p>
    <w:p w:rsidR="003A4FAF" w:rsidRDefault="003A4FAF" w:rsidP="00C9197A">
      <w:pPr>
        <w:pStyle w:val="ListParagraph"/>
        <w:numPr>
          <w:ilvl w:val="0"/>
          <w:numId w:val="13"/>
        </w:numPr>
        <w:rPr>
          <w:rFonts w:cs="Calibri"/>
        </w:rPr>
      </w:pPr>
      <w:commentRangeStart w:id="2"/>
      <w:r w:rsidRPr="001C5498">
        <w:rPr>
          <w:rFonts w:cs="Calibri"/>
          <w:i/>
        </w:rPr>
        <w:t xml:space="preserve">Exploring the role of analytics and creating an appropriate </w:t>
      </w:r>
      <w:r>
        <w:rPr>
          <w:rFonts w:cs="Calibri"/>
          <w:i/>
        </w:rPr>
        <w:t>composite of</w:t>
      </w:r>
      <w:r w:rsidRPr="001C5498">
        <w:rPr>
          <w:rFonts w:cs="Calibri"/>
          <w:i/>
        </w:rPr>
        <w:t xml:space="preserve"> computational and social interpretations of the data</w:t>
      </w:r>
      <w:r>
        <w:rPr>
          <w:rFonts w:cs="Calibri"/>
        </w:rPr>
        <w:t>. The Social Signal Processing perspective recognises that interpretation of sensor and other data streams is always a blend of social and computational components. This contrasts strongly with ‘pervasive computing’ approaches that seek to eliminate the human contribution by creating increasingly elaborate monitoring regimes, rule sets and algorithms to entirely automate capture of context [e.g. 3]. We believe that hybrid approaches where people supply missing contextual detail is by far the more effective, efficient and achievable approach. The challenge for SSP is to produce engineering strategies that can orchestrate working configurations of analytics, instrumentation (e.g. via sensors or sensor nets) and human contributions.</w:t>
      </w:r>
      <w:commentRangeEnd w:id="2"/>
      <w:r w:rsidR="00242C1F">
        <w:rPr>
          <w:rStyle w:val="CommentReference"/>
        </w:rPr>
        <w:commentReference w:id="2"/>
      </w:r>
    </w:p>
    <w:p w:rsidR="003A4FAF" w:rsidRDefault="003A4FAF" w:rsidP="001C5498">
      <w:pPr>
        <w:pStyle w:val="ListParagraph"/>
        <w:ind w:left="0"/>
        <w:rPr>
          <w:rFonts w:cs="Calibri"/>
        </w:rPr>
      </w:pPr>
    </w:p>
    <w:p w:rsidR="003A4FAF" w:rsidRDefault="003A4FAF" w:rsidP="002F71A9">
      <w:pPr>
        <w:pStyle w:val="ListParagraph"/>
        <w:numPr>
          <w:ilvl w:val="0"/>
          <w:numId w:val="13"/>
        </w:numPr>
        <w:rPr>
          <w:rFonts w:cs="Calibri"/>
        </w:rPr>
      </w:pPr>
      <w:commentRangeStart w:id="3"/>
      <w:r w:rsidRPr="00AF2A15">
        <w:rPr>
          <w:rFonts w:cs="Calibri"/>
          <w:i/>
        </w:rPr>
        <w:t>Blending sensor data and contextual detail into appropriate sharable visualizations.</w:t>
      </w:r>
      <w:r>
        <w:rPr>
          <w:rFonts w:cs="Calibri"/>
        </w:rPr>
        <w:t xml:space="preserve"> This concerns the appropriate forms of the shared analytic object created by a SSP approach. It should be capable of being interpreted and elaborated by mutual stakeholders, support negotiation and iterative refinement of contributions. It is here that the multidisciplinary nature of SSP research comes to the fore with the requirements to understand and apply shared sense-making, human-factors, data analytics and visualisations in a distributed collaborative setting.</w:t>
      </w:r>
      <w:commentRangeEnd w:id="3"/>
      <w:r w:rsidR="00242C1F">
        <w:rPr>
          <w:rStyle w:val="CommentReference"/>
        </w:rPr>
        <w:commentReference w:id="3"/>
      </w:r>
    </w:p>
    <w:p w:rsidR="003A4FAF" w:rsidRDefault="003A4FAF" w:rsidP="002F71A9">
      <w:pPr>
        <w:pStyle w:val="ListParagraph"/>
        <w:ind w:left="0"/>
        <w:rPr>
          <w:rFonts w:cs="Calibri"/>
        </w:rPr>
      </w:pPr>
    </w:p>
    <w:p w:rsidR="003A4FAF" w:rsidRPr="00EC7C94" w:rsidRDefault="003A4FAF" w:rsidP="00C9013A">
      <w:pPr>
        <w:pStyle w:val="ListParagraph"/>
        <w:numPr>
          <w:ilvl w:val="0"/>
          <w:numId w:val="13"/>
        </w:numPr>
        <w:rPr>
          <w:rFonts w:cs="Calibri"/>
          <w:i/>
        </w:rPr>
      </w:pPr>
      <w:r w:rsidRPr="002F71A9">
        <w:rPr>
          <w:rFonts w:cs="Calibri"/>
          <w:i/>
        </w:rPr>
        <w:t xml:space="preserve">Designing to support emergent individual and collaborative interpretative practices. </w:t>
      </w:r>
      <w:r>
        <w:rPr>
          <w:rFonts w:cs="Calibri"/>
        </w:rPr>
        <w:t xml:space="preserve">Pilots reveal both how existing responsibilities are redistributed between stakeholders and how new forms of work emerge on the introduction of new telemedicine solutions. It is common for </w:t>
      </w:r>
      <w:r w:rsidR="001F4B94">
        <w:rPr>
          <w:rFonts w:cs="Calibri"/>
        </w:rPr>
        <w:t>t</w:t>
      </w:r>
      <w:r>
        <w:rPr>
          <w:rFonts w:cs="Calibri"/>
        </w:rPr>
        <w:t>he patient to become engaged in diagnostic practices and for auxiliary healthcare workers to play an ‘unscripted’ role in mediating interpretations of ‘signal’ data [8, 9]. Thus a SSP approach should proceed on the assumption that interpretative practices will become distributed through the system rather than being the province of individual agents. Instead of resisting or ignoring these processes, SSP aims to encourage exploiting distributed interpretive effort by providing appropriate support and resources for each individual’s contribution.</w:t>
      </w:r>
    </w:p>
    <w:p w:rsidR="003A4FAF" w:rsidRPr="002F71A9" w:rsidRDefault="003A4FAF" w:rsidP="00C9013A">
      <w:pPr>
        <w:pStyle w:val="ListParagraph"/>
        <w:ind w:left="360"/>
        <w:rPr>
          <w:rFonts w:cs="Calibri"/>
          <w:i/>
        </w:rPr>
      </w:pPr>
      <w:r>
        <w:rPr>
          <w:rFonts w:cs="Calibri"/>
        </w:rPr>
        <w:t xml:space="preserve"> </w:t>
      </w:r>
    </w:p>
    <w:p w:rsidR="003A4FAF" w:rsidRPr="001432C6" w:rsidRDefault="003A4FAF" w:rsidP="001432C6">
      <w:pPr>
        <w:pStyle w:val="ListParagraph"/>
        <w:numPr>
          <w:ilvl w:val="0"/>
          <w:numId w:val="13"/>
        </w:numPr>
        <w:rPr>
          <w:rFonts w:cs="Calibri"/>
          <w:i/>
        </w:rPr>
      </w:pPr>
      <w:commentRangeStart w:id="4"/>
      <w:r w:rsidRPr="00EC7C94">
        <w:rPr>
          <w:i/>
        </w:rPr>
        <w:t>Ensuring privacy is suitably protected.</w:t>
      </w:r>
      <w:r>
        <w:rPr>
          <w:i/>
        </w:rPr>
        <w:t xml:space="preserve"> </w:t>
      </w:r>
      <w:r>
        <w:t xml:space="preserve">Contributing sensor and contextual data has privacy implications that are magnified and compounded in a medical context. Because addressing privacy concerns is </w:t>
      </w:r>
      <w:proofErr w:type="gramStart"/>
      <w:r>
        <w:t>key</w:t>
      </w:r>
      <w:proofErr w:type="gramEnd"/>
      <w:r>
        <w:t xml:space="preserve"> to creating acceptable SSP solutions for </w:t>
      </w:r>
      <w:proofErr w:type="spellStart"/>
      <w:r>
        <w:t>telemonitoring</w:t>
      </w:r>
      <w:proofErr w:type="spellEnd"/>
      <w:r>
        <w:t xml:space="preserve"> they are discussed in detail below.</w:t>
      </w:r>
      <w:commentRangeEnd w:id="4"/>
      <w:r w:rsidR="005D204C">
        <w:rPr>
          <w:rStyle w:val="CommentReference"/>
        </w:rPr>
        <w:commentReference w:id="4"/>
      </w:r>
    </w:p>
    <w:p w:rsidR="003A4FAF" w:rsidRDefault="003A4FAF" w:rsidP="001432C6">
      <w:pPr>
        <w:pStyle w:val="ListParagraph"/>
        <w:ind w:left="0"/>
        <w:rPr>
          <w:i/>
        </w:rPr>
      </w:pPr>
    </w:p>
    <w:p w:rsidR="003A4FAF" w:rsidRPr="001432C6" w:rsidRDefault="003A4FAF" w:rsidP="001432C6">
      <w:pPr>
        <w:pStyle w:val="ListParagraph"/>
        <w:numPr>
          <w:ilvl w:val="0"/>
          <w:numId w:val="13"/>
        </w:numPr>
        <w:rPr>
          <w:rFonts w:cs="Calibri"/>
          <w:i/>
        </w:rPr>
      </w:pPr>
      <w:r w:rsidRPr="00BC37B8">
        <w:rPr>
          <w:i/>
        </w:rPr>
        <w:t>Engineering platforms and services that enable SSP applications to rapidly assembled for new domains.</w:t>
      </w:r>
      <w:r>
        <w:t xml:space="preserve"> Although our work is predicated on a case study in telemedicine, we will identify stable and portable approaches that can be abstracted into reusable components, services and templates to facilitate engineering an SSP across a spectrum of telemedicine applications.</w:t>
      </w:r>
    </w:p>
    <w:p w:rsidR="003A4FAF" w:rsidRDefault="003A4FAF" w:rsidP="007C18B1"/>
    <w:p w:rsidR="003A4FAF" w:rsidRDefault="003A4FAF" w:rsidP="00143D23"/>
    <w:p w:rsidR="003A4FAF" w:rsidRDefault="003A4FAF" w:rsidP="00143D23"/>
    <w:p w:rsidR="003A4FAF" w:rsidRDefault="003A4FAF" w:rsidP="00143D23">
      <w:r>
        <w:t xml:space="preserve">[1] Elwin G, </w:t>
      </w:r>
      <w:proofErr w:type="spellStart"/>
      <w:r>
        <w:t>Hardisty</w:t>
      </w:r>
      <w:proofErr w:type="spellEnd"/>
      <w:r>
        <w:t xml:space="preserve"> A R, Peirce S C, May C, Evans R, Robinson D K R, Bolton C E, </w:t>
      </w:r>
      <w:proofErr w:type="spellStart"/>
      <w:r>
        <w:t>Yousef</w:t>
      </w:r>
      <w:proofErr w:type="spellEnd"/>
      <w:r>
        <w:t xml:space="preserve"> Z, Conley C, </w:t>
      </w:r>
      <w:proofErr w:type="spellStart"/>
      <w:r>
        <w:t>Rana</w:t>
      </w:r>
      <w:proofErr w:type="spellEnd"/>
      <w:r>
        <w:t xml:space="preserve"> O F, Gray W A and </w:t>
      </w:r>
      <w:proofErr w:type="spellStart"/>
      <w:r>
        <w:t>Preece</w:t>
      </w:r>
      <w:proofErr w:type="spellEnd"/>
      <w:r>
        <w:t xml:space="preserve"> A D (2011) Detecting deterioration in patients with chronic disease using </w:t>
      </w:r>
      <w:proofErr w:type="spellStart"/>
      <w:r>
        <w:t>telemonitoring</w:t>
      </w:r>
      <w:proofErr w:type="spellEnd"/>
      <w:r>
        <w:t xml:space="preserve">: navigating the ‘trough of disillusionment’ </w:t>
      </w:r>
      <w:r w:rsidRPr="00143D23">
        <w:t>18</w:t>
      </w:r>
      <w:r>
        <w:t>,</w:t>
      </w:r>
      <w:r w:rsidRPr="00143D23">
        <w:t xml:space="preserve"> 896–903</w:t>
      </w:r>
    </w:p>
    <w:p w:rsidR="003A4FAF" w:rsidRDefault="003A4FAF" w:rsidP="00143D23"/>
    <w:p w:rsidR="003A4FAF" w:rsidRDefault="003A4FAF" w:rsidP="00143D23">
      <w:r>
        <w:t xml:space="preserve">[2] </w:t>
      </w:r>
      <w:proofErr w:type="spellStart"/>
      <w:r>
        <w:t>Telescot</w:t>
      </w:r>
      <w:proofErr w:type="spellEnd"/>
      <w:r>
        <w:t xml:space="preserve"> report</w:t>
      </w:r>
    </w:p>
    <w:p w:rsidR="003A4FAF" w:rsidRDefault="003A4FAF" w:rsidP="00143D23"/>
    <w:p w:rsidR="003A4FAF" w:rsidRDefault="003A4FAF" w:rsidP="00332F7D">
      <w:r>
        <w:t xml:space="preserve">[3] </w:t>
      </w:r>
      <w:proofErr w:type="spellStart"/>
      <w:r>
        <w:t>Copetti</w:t>
      </w:r>
      <w:proofErr w:type="spellEnd"/>
      <w:r>
        <w:t xml:space="preserve"> A, </w:t>
      </w:r>
      <w:proofErr w:type="spellStart"/>
      <w:r>
        <w:t>Loques</w:t>
      </w:r>
      <w:proofErr w:type="spellEnd"/>
      <w:r>
        <w:t xml:space="preserve"> O, </w:t>
      </w:r>
      <w:proofErr w:type="spellStart"/>
      <w:r>
        <w:t>Leite</w:t>
      </w:r>
      <w:proofErr w:type="spellEnd"/>
      <w:r>
        <w:t xml:space="preserve"> J C B, </w:t>
      </w:r>
      <w:proofErr w:type="spellStart"/>
      <w:r>
        <w:t>Barbosa</w:t>
      </w:r>
      <w:proofErr w:type="spellEnd"/>
      <w:r>
        <w:t xml:space="preserve"> T P C and </w:t>
      </w:r>
      <w:proofErr w:type="spellStart"/>
      <w:r>
        <w:t>da</w:t>
      </w:r>
      <w:proofErr w:type="spellEnd"/>
      <w:r>
        <w:t xml:space="preserve"> </w:t>
      </w:r>
      <w:proofErr w:type="spellStart"/>
      <w:r w:rsidRPr="00332F7D">
        <w:t>Nobrega</w:t>
      </w:r>
      <w:proofErr w:type="spellEnd"/>
      <w:r>
        <w:t xml:space="preserve"> A C L (2009) Intelligent Context-Aware Monitoring of Hypertensive Patients. </w:t>
      </w:r>
      <w:proofErr w:type="gramStart"/>
      <w:r>
        <w:t>3</w:t>
      </w:r>
      <w:r w:rsidRPr="00332F7D">
        <w:rPr>
          <w:vertAlign w:val="superscript"/>
        </w:rPr>
        <w:t>rd</w:t>
      </w:r>
      <w:r>
        <w:t xml:space="preserve"> International Conference on Pervasive Health.</w:t>
      </w:r>
      <w:proofErr w:type="gramEnd"/>
      <w:r>
        <w:t xml:space="preserve"> 1- 3 April. </w:t>
      </w:r>
      <w:smartTag w:uri="urn:schemas-microsoft-com:office:smarttags" w:element="City">
        <w:smartTag w:uri="urn:schemas-microsoft-com:office:smarttags" w:element="place">
          <w:r>
            <w:t>London</w:t>
          </w:r>
        </w:smartTag>
      </w:smartTag>
      <w:r>
        <w:t>.</w:t>
      </w:r>
    </w:p>
    <w:p w:rsidR="003A4FAF" w:rsidRDefault="003A4FAF" w:rsidP="00332F7D"/>
    <w:p w:rsidR="003A4FAF" w:rsidRDefault="003A4FAF" w:rsidP="00332F7D">
      <w:r>
        <w:t xml:space="preserve">[4] Anderson T, </w:t>
      </w:r>
      <w:proofErr w:type="spellStart"/>
      <w:r>
        <w:t>Pernille</w:t>
      </w:r>
      <w:proofErr w:type="spellEnd"/>
      <w:r>
        <w:t xml:space="preserve"> B, </w:t>
      </w:r>
      <w:proofErr w:type="spellStart"/>
      <w:r>
        <w:t>Kensing</w:t>
      </w:r>
      <w:proofErr w:type="spellEnd"/>
      <w:r>
        <w:t xml:space="preserve"> F and Moll J (2010) </w:t>
      </w:r>
      <w:r w:rsidRPr="00A421D3">
        <w:t xml:space="preserve">Designing for collaborative interpretation in </w:t>
      </w:r>
      <w:proofErr w:type="spellStart"/>
      <w:r w:rsidRPr="00A421D3">
        <w:t>telemonitoring</w:t>
      </w:r>
      <w:proofErr w:type="spellEnd"/>
      <w:r w:rsidRPr="00A421D3">
        <w:t>: Re-introducing patients as diagnostic agents</w:t>
      </w:r>
      <w:r>
        <w:t xml:space="preserve">. </w:t>
      </w:r>
      <w:proofErr w:type="gramStart"/>
      <w:r>
        <w:t>International Journal of Medical Informatics.</w:t>
      </w:r>
      <w:proofErr w:type="gramEnd"/>
      <w:r>
        <w:t xml:space="preserve"> 80(8) 112-126.</w:t>
      </w:r>
    </w:p>
    <w:p w:rsidR="003A4FAF" w:rsidRDefault="003A4FAF" w:rsidP="00332F7D"/>
    <w:p w:rsidR="003A4FAF" w:rsidRDefault="003A4FAF" w:rsidP="00332F7D">
      <w:r>
        <w:t xml:space="preserve">[5] Edwards P, </w:t>
      </w:r>
      <w:proofErr w:type="spellStart"/>
      <w:r>
        <w:t>Mayernik</w:t>
      </w:r>
      <w:proofErr w:type="spellEnd"/>
      <w:r>
        <w:t xml:space="preserve"> M S, </w:t>
      </w:r>
      <w:proofErr w:type="spellStart"/>
      <w:r>
        <w:t>Batcheller</w:t>
      </w:r>
      <w:proofErr w:type="spellEnd"/>
      <w:r>
        <w:t xml:space="preserve"> A, Bowker G and </w:t>
      </w:r>
      <w:proofErr w:type="spellStart"/>
      <w:r>
        <w:t>Borgman</w:t>
      </w:r>
      <w:proofErr w:type="spellEnd"/>
      <w:r>
        <w:t xml:space="preserve"> C (2011) Science Friction: Data, metadata and collaboration. </w:t>
      </w:r>
      <w:proofErr w:type="gramStart"/>
      <w:r>
        <w:t>Social Studies of Science.</w:t>
      </w:r>
      <w:proofErr w:type="gramEnd"/>
      <w:r>
        <w:t xml:space="preserve"> 41(5) 667-690.</w:t>
      </w:r>
    </w:p>
    <w:p w:rsidR="003A4FAF" w:rsidRDefault="003A4FAF" w:rsidP="00332F7D"/>
    <w:p w:rsidR="003A4FAF" w:rsidRDefault="003A4FAF" w:rsidP="00332F7D">
      <w:r>
        <w:t xml:space="preserve">[6] Willet W, </w:t>
      </w:r>
      <w:proofErr w:type="spellStart"/>
      <w:r>
        <w:t>Heer</w:t>
      </w:r>
      <w:proofErr w:type="spellEnd"/>
      <w:r>
        <w:t xml:space="preserve"> J and </w:t>
      </w:r>
      <w:proofErr w:type="spellStart"/>
      <w:r>
        <w:t>Agrawala</w:t>
      </w:r>
      <w:proofErr w:type="spellEnd"/>
      <w:r>
        <w:t xml:space="preserve"> M (2012) </w:t>
      </w:r>
      <w:r w:rsidRPr="00581D25">
        <w:t xml:space="preserve">Strategies for </w:t>
      </w:r>
      <w:proofErr w:type="spellStart"/>
      <w:r w:rsidRPr="00581D25">
        <w:t>Crowdsourcing</w:t>
      </w:r>
      <w:proofErr w:type="spellEnd"/>
      <w:r w:rsidRPr="00581D25">
        <w:t xml:space="preserve"> Social Data Analysis</w:t>
      </w:r>
      <w:r>
        <w:t xml:space="preserve">. </w:t>
      </w:r>
      <w:proofErr w:type="gramStart"/>
      <w:r w:rsidRPr="00581D25">
        <w:t>CHI’12 ,</w:t>
      </w:r>
      <w:proofErr w:type="gramEnd"/>
      <w:r w:rsidRPr="00581D25">
        <w:t xml:space="preserve"> May 5–10, 2012, Austin, Texas, USA.</w:t>
      </w:r>
    </w:p>
    <w:p w:rsidR="003A4FAF" w:rsidRDefault="003A4FAF" w:rsidP="00332F7D"/>
    <w:p w:rsidR="003A4FAF" w:rsidRDefault="003A4FAF" w:rsidP="00332F7D">
      <w:r>
        <w:t xml:space="preserve">[7] Burke J, </w:t>
      </w:r>
      <w:proofErr w:type="spellStart"/>
      <w:r>
        <w:t>Estrin</w:t>
      </w:r>
      <w:proofErr w:type="spellEnd"/>
      <w:r>
        <w:t xml:space="preserve"> D, Hansen M, Parker A, </w:t>
      </w:r>
      <w:proofErr w:type="spellStart"/>
      <w:r>
        <w:t>Ramanathan</w:t>
      </w:r>
      <w:proofErr w:type="spellEnd"/>
      <w:r>
        <w:t xml:space="preserve"> S, Reddy S and </w:t>
      </w:r>
      <w:proofErr w:type="spellStart"/>
      <w:r>
        <w:t>Srivastava</w:t>
      </w:r>
      <w:proofErr w:type="spellEnd"/>
      <w:r>
        <w:t xml:space="preserve"> M B (2006) Participatory sensing. UC Los Angeles: </w:t>
      </w:r>
      <w:proofErr w:type="spellStart"/>
      <w:r>
        <w:t>Center</w:t>
      </w:r>
      <w:proofErr w:type="spellEnd"/>
      <w:r>
        <w:t xml:space="preserve"> for Embedded Network Sensing. Retrieved from: </w:t>
      </w:r>
      <w:hyperlink r:id="rId8" w:history="1">
        <w:r w:rsidRPr="004E0CE1">
          <w:rPr>
            <w:rStyle w:val="Hyperlink"/>
          </w:rPr>
          <w:t>http://escholarship.org/uc/item/19h777qd</w:t>
        </w:r>
      </w:hyperlink>
    </w:p>
    <w:p w:rsidR="003A4FAF" w:rsidRDefault="003A4FAF" w:rsidP="00332F7D"/>
    <w:p w:rsidR="003A4FAF" w:rsidRDefault="003A4FAF" w:rsidP="00332F7D">
      <w:r>
        <w:t>[8] Mort M, May C R and Williams T (2003) Remote doctors and absent patients: Acting at a distance in telemedicine. Science, Technology and Human Values 28(2) 274-295.</w:t>
      </w:r>
    </w:p>
    <w:p w:rsidR="003A4FAF" w:rsidRDefault="003A4FAF" w:rsidP="00332F7D"/>
    <w:p w:rsidR="003A4FAF" w:rsidRDefault="003A4FAF" w:rsidP="001432C6">
      <w:r>
        <w:t xml:space="preserve">[9] </w:t>
      </w:r>
      <w:proofErr w:type="spellStart"/>
      <w:r>
        <w:t>Oudshoorn</w:t>
      </w:r>
      <w:proofErr w:type="spellEnd"/>
      <w:r>
        <w:t xml:space="preserve"> N (2008) Diagnosis at a distance: the invisible work of patients and healthcare professionals in cardiac </w:t>
      </w:r>
      <w:proofErr w:type="spellStart"/>
      <w:r>
        <w:t>telemonitoring</w:t>
      </w:r>
      <w:proofErr w:type="spellEnd"/>
      <w:r>
        <w:t xml:space="preserve"> technology. </w:t>
      </w:r>
      <w:proofErr w:type="gramStart"/>
      <w:r>
        <w:t>Sociology of Health and Illness.</w:t>
      </w:r>
      <w:proofErr w:type="gramEnd"/>
      <w:r>
        <w:t xml:space="preserve"> 30(2) 272-288.</w:t>
      </w:r>
    </w:p>
    <w:p w:rsidR="003A4FAF" w:rsidRDefault="003A4FAF" w:rsidP="001432C6"/>
    <w:p w:rsidR="003A4FAF" w:rsidRDefault="003A4FAF" w:rsidP="001432C6">
      <w:r>
        <w:t xml:space="preserve">[10] </w:t>
      </w:r>
      <w:r w:rsidRPr="00581A6F">
        <w:t>Hartswood M, Procter R, Taylor P, Blot L,</w:t>
      </w:r>
      <w:r>
        <w:t xml:space="preserve"> Anderson S, </w:t>
      </w:r>
      <w:proofErr w:type="spellStart"/>
      <w:r>
        <w:t>Rouncefield</w:t>
      </w:r>
      <w:proofErr w:type="spellEnd"/>
      <w:r>
        <w:t xml:space="preserve"> M and Slack R</w:t>
      </w:r>
      <w:r w:rsidRPr="00581A6F">
        <w:t>. Problems of data mobility and reuse in the provision of computer-based training for screening mammography. In: CHI '12 Proceedings of the 2012 ACM annual conference on Human Factors in Computing Systems. New York: ACM. 2012. p. 909-918.</w:t>
      </w:r>
    </w:p>
    <w:p w:rsidR="003A4FAF" w:rsidRDefault="003A4FAF" w:rsidP="001432C6"/>
    <w:p w:rsidR="003A4FAF" w:rsidRPr="00581A6F" w:rsidRDefault="003A4FAF" w:rsidP="001432C6">
      <w:r>
        <w:t xml:space="preserve">[11] </w:t>
      </w:r>
      <w:proofErr w:type="spellStart"/>
      <w:r>
        <w:t>Gershon</w:t>
      </w:r>
      <w:proofErr w:type="spellEnd"/>
      <w:r>
        <w:t xml:space="preserve"> D (2002) Dealing with the data deluge. </w:t>
      </w:r>
      <w:proofErr w:type="gramStart"/>
      <w:r>
        <w:t>Nature.</w:t>
      </w:r>
      <w:proofErr w:type="gramEnd"/>
      <w:r>
        <w:t xml:space="preserve"> </w:t>
      </w:r>
      <w:r w:rsidRPr="00581A6F">
        <w:t>416, 889-891</w:t>
      </w:r>
      <w:r>
        <w:t>.</w:t>
      </w:r>
    </w:p>
    <w:sectPr w:rsidR="003A4FAF" w:rsidRPr="00581A6F" w:rsidSect="00D57C08">
      <w:pgSz w:w="11906" w:h="16838"/>
      <w:pgMar w:top="1134" w:right="1134" w:bottom="1134"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enny" w:date="2012-09-19T11:02:00Z" w:initials="j">
    <w:p w:rsidR="00416993" w:rsidRDefault="00416993">
      <w:pPr>
        <w:pStyle w:val="CommentText"/>
      </w:pPr>
      <w:r>
        <w:rPr>
          <w:rStyle w:val="CommentReference"/>
        </w:rPr>
        <w:annotationRef/>
      </w:r>
      <w:r>
        <w:t>Specify</w:t>
      </w:r>
    </w:p>
    <w:p w:rsidR="00416993" w:rsidRDefault="00416993">
      <w:pPr>
        <w:pStyle w:val="CommentText"/>
      </w:pPr>
      <w:proofErr w:type="gramStart"/>
      <w:r>
        <w:t>a</w:t>
      </w:r>
      <w:proofErr w:type="gramEnd"/>
      <w:r>
        <w:t>. a tool or a process project, or both</w:t>
      </w:r>
    </w:p>
    <w:p w:rsidR="00416993" w:rsidRDefault="00416993">
      <w:pPr>
        <w:pStyle w:val="CommentText"/>
      </w:pPr>
    </w:p>
    <w:p w:rsidR="00416993" w:rsidRDefault="00416993">
      <w:pPr>
        <w:pStyle w:val="CommentText"/>
      </w:pPr>
      <w:r>
        <w:t>b. NHS or NHS 24</w:t>
      </w:r>
    </w:p>
    <w:p w:rsidR="00416993" w:rsidRDefault="00416993">
      <w:pPr>
        <w:pStyle w:val="CommentText"/>
      </w:pPr>
    </w:p>
    <w:p w:rsidR="00416993" w:rsidRDefault="00416993">
      <w:pPr>
        <w:pStyle w:val="CommentText"/>
      </w:pPr>
      <w:r>
        <w:t>c. Research or Service audit (Ethics easier)</w:t>
      </w:r>
    </w:p>
    <w:p w:rsidR="00416993" w:rsidRDefault="00416993">
      <w:pPr>
        <w:pStyle w:val="CommentText"/>
      </w:pPr>
    </w:p>
    <w:p w:rsidR="00416993" w:rsidRDefault="00416993">
      <w:pPr>
        <w:pStyle w:val="CommentText"/>
      </w:pPr>
      <w:proofErr w:type="spellStart"/>
      <w:proofErr w:type="gramStart"/>
      <w:r>
        <w:t>d.Specific</w:t>
      </w:r>
      <w:proofErr w:type="spellEnd"/>
      <w:proofErr w:type="gramEnd"/>
      <w:r>
        <w:t xml:space="preserve"> context with patient group – e.g. H4M patient group? </w:t>
      </w:r>
      <w:proofErr w:type="spellStart"/>
      <w:r>
        <w:t>Esp</w:t>
      </w:r>
      <w:proofErr w:type="spellEnd"/>
      <w:r>
        <w:t xml:space="preserve"> as DSM 4 being rethought</w:t>
      </w:r>
    </w:p>
  </w:comment>
  <w:comment w:id="1" w:author="jenny" w:date="2012-09-19T10:53:00Z" w:initials="j">
    <w:p w:rsidR="00247209" w:rsidRDefault="00247209">
      <w:pPr>
        <w:pStyle w:val="CommentText"/>
      </w:pPr>
      <w:r>
        <w:rPr>
          <w:rStyle w:val="CommentReference"/>
        </w:rPr>
        <w:annotationRef/>
      </w:r>
      <w:r>
        <w:t xml:space="preserve">Barrier in Home </w:t>
      </w:r>
      <w:proofErr w:type="spellStart"/>
      <w:r>
        <w:t>telemonitoring</w:t>
      </w:r>
      <w:proofErr w:type="spellEnd"/>
      <w:r>
        <w:t xml:space="preserve"> is (a) GP’s don’t want (a) to be legally responsible for responding to emails/ current NHS rules don’t yet allow it, though is a grey/changing area (b) because it implies extra workload,  which </w:t>
      </w:r>
      <w:r w:rsidR="00242C1F">
        <w:t>is a disincentive.</w:t>
      </w:r>
    </w:p>
    <w:p w:rsidR="00242C1F" w:rsidRDefault="00242C1F">
      <w:pPr>
        <w:pStyle w:val="CommentText"/>
      </w:pPr>
    </w:p>
    <w:p w:rsidR="00242C1F" w:rsidRDefault="00242C1F">
      <w:pPr>
        <w:pStyle w:val="CommentText"/>
      </w:pPr>
      <w:r>
        <w:t xml:space="preserve">More useful in context of creating/adapting new profiles for preventative medicine, and for profiles and standards that draw on both clinical and social/behavioural data - where for example, lifestyle and behavioural factors need to be drawn on for indicators of being ‘at risk’, or for complementing </w:t>
      </w:r>
      <w:proofErr w:type="spellStart"/>
      <w:r>
        <w:t>on going</w:t>
      </w:r>
      <w:proofErr w:type="spellEnd"/>
      <w:r>
        <w:t xml:space="preserve"> monitoring (e.g. in monitoring developing disease, or new treatments e.g. dementia) where multiple people are involved in reporting and acting – family, social work, clinical.</w:t>
      </w:r>
    </w:p>
    <w:p w:rsidR="00242C1F" w:rsidRDefault="00242C1F">
      <w:pPr>
        <w:pStyle w:val="CommentText"/>
      </w:pPr>
    </w:p>
    <w:p w:rsidR="00242C1F" w:rsidRDefault="00242C1F">
      <w:pPr>
        <w:pStyle w:val="CommentText"/>
      </w:pPr>
      <w:proofErr w:type="gramStart"/>
      <w:r>
        <w:t>i.e</w:t>
      </w:r>
      <w:proofErr w:type="gramEnd"/>
      <w:r>
        <w:t xml:space="preserve">. no algorithms exist for ‘process’ indicators for disease prevention, and these need multiple data streams at scale. Having outcomes could then allow for machine learning, based on different data streams, if there are sufficient data </w:t>
      </w:r>
      <w:proofErr w:type="spellStart"/>
      <w:r>
        <w:t>piujnts</w:t>
      </w:r>
      <w:proofErr w:type="spellEnd"/>
      <w:r>
        <w:t xml:space="preserve"> to do so.</w:t>
      </w:r>
    </w:p>
  </w:comment>
  <w:comment w:id="2" w:author="jenny" w:date="2012-09-19T10:58:00Z" w:initials="j">
    <w:p w:rsidR="00242C1F" w:rsidRDefault="00242C1F">
      <w:pPr>
        <w:pStyle w:val="CommentText"/>
      </w:pPr>
      <w:r>
        <w:rPr>
          <w:rStyle w:val="CommentReference"/>
        </w:rPr>
        <w:annotationRef/>
      </w:r>
      <w:r>
        <w:t>Challenge is to a la</w:t>
      </w:r>
      <w:r w:rsidR="005D204C">
        <w:t xml:space="preserve">ger extent about what NHS </w:t>
      </w:r>
      <w:proofErr w:type="spellStart"/>
      <w:r w:rsidR="005D204C">
        <w:t>i</w:t>
      </w:r>
      <w:proofErr w:type="spellEnd"/>
      <w:r w:rsidR="005D204C">
        <w:t xml:space="preserve"> s perceived to </w:t>
      </w:r>
      <w:r>
        <w:t xml:space="preserve">allow (no emails – though </w:t>
      </w:r>
      <w:r w:rsidR="005D204C">
        <w:t>Charl</w:t>
      </w:r>
      <w:r>
        <w:t xml:space="preserve">es </w:t>
      </w:r>
      <w:proofErr w:type="spellStart"/>
      <w:r>
        <w:t>Swainson</w:t>
      </w:r>
      <w:proofErr w:type="spellEnd"/>
      <w:r>
        <w:t xml:space="preserve"> is trying to change that </w:t>
      </w:r>
      <w:r w:rsidR="005D204C">
        <w:t>–</w:t>
      </w:r>
      <w:r>
        <w:t xml:space="preserve"> </w:t>
      </w:r>
      <w:r w:rsidR="005D204C">
        <w:t xml:space="preserve">and what GPs will accept. Is </w:t>
      </w:r>
      <w:proofErr w:type="spellStart"/>
      <w:r w:rsidR="005D204C">
        <w:t>there fore</w:t>
      </w:r>
      <w:proofErr w:type="spellEnd"/>
      <w:r w:rsidR="005D204C">
        <w:t xml:space="preserve"> easier to pilot in a ‘new’ context where algorithms and approaches are in flux – as in NHS24 and DALLAS – </w:t>
      </w:r>
      <w:proofErr w:type="spellStart"/>
      <w:r w:rsidR="005D204C">
        <w:t>ie</w:t>
      </w:r>
      <w:proofErr w:type="spellEnd"/>
      <w:r w:rsidR="005D204C">
        <w:t xml:space="preserve"> have a prototype ‘tool’ to pilot and get the ideas and the barriers from the pilot users, as Nokia do – let them play with it </w:t>
      </w:r>
      <w:proofErr w:type="spellStart"/>
      <w:r w:rsidR="005D204C">
        <w:t>nad</w:t>
      </w:r>
      <w:proofErr w:type="spellEnd"/>
      <w:r w:rsidR="005D204C">
        <w:t xml:space="preserve"> help develop it.</w:t>
      </w:r>
    </w:p>
  </w:comment>
  <w:comment w:id="3" w:author="jenny" w:date="2012-09-19T10:55:00Z" w:initials="j">
    <w:p w:rsidR="00242C1F" w:rsidRDefault="00242C1F">
      <w:pPr>
        <w:pStyle w:val="CommentText"/>
      </w:pPr>
      <w:r>
        <w:rPr>
          <w:rStyle w:val="CommentReference"/>
        </w:rPr>
        <w:annotationRef/>
      </w:r>
      <w:r>
        <w:t xml:space="preserve">Interesting in that it supplies an alternative to the current </w:t>
      </w:r>
      <w:proofErr w:type="spellStart"/>
      <w:r>
        <w:t>decisionmaking</w:t>
      </w:r>
      <w:proofErr w:type="spellEnd"/>
      <w:r>
        <w:t xml:space="preserve"> </w:t>
      </w:r>
      <w:proofErr w:type="gramStart"/>
      <w:r>
        <w:t>‘ be</w:t>
      </w:r>
      <w:proofErr w:type="gramEnd"/>
      <w:r>
        <w:t xml:space="preserve"> default’ by existing </w:t>
      </w:r>
      <w:proofErr w:type="spellStart"/>
      <w:r>
        <w:t>plaers</w:t>
      </w:r>
      <w:proofErr w:type="spellEnd"/>
      <w:r>
        <w:t xml:space="preserve">, a d on basis of existing information, with no audit. Value for me of this is not so much what it would do, so </w:t>
      </w:r>
      <w:proofErr w:type="spellStart"/>
      <w:r>
        <w:t>mauch</w:t>
      </w:r>
      <w:proofErr w:type="spellEnd"/>
      <w:r>
        <w:t xml:space="preserve"> as what it would show about the existing networks, as a network of uneven power distributions. (There is </w:t>
      </w:r>
      <w:proofErr w:type="spellStart"/>
      <w:r>
        <w:t>aBMJ</w:t>
      </w:r>
      <w:proofErr w:type="spellEnd"/>
      <w:r>
        <w:t xml:space="preserve"> ref related to this</w:t>
      </w:r>
    </w:p>
  </w:comment>
  <w:comment w:id="4" w:author="jenny" w:date="2012-09-19T10:59:00Z" w:initials="j">
    <w:p w:rsidR="005D204C" w:rsidRDefault="005D204C">
      <w:pPr>
        <w:pStyle w:val="CommentText"/>
      </w:pPr>
      <w:r>
        <w:rPr>
          <w:rStyle w:val="CommentReference"/>
        </w:rPr>
        <w:annotationRef/>
      </w:r>
      <w:r>
        <w:t xml:space="preserve">Could be piloted in </w:t>
      </w:r>
      <w:proofErr w:type="spellStart"/>
      <w:r>
        <w:t>teh</w:t>
      </w:r>
      <w:proofErr w:type="spellEnd"/>
      <w:r>
        <w:t xml:space="preserve"> context of ‘auditing’ a service, as otherwise ethics unlikely to be </w:t>
      </w:r>
      <w:proofErr w:type="spellStart"/>
      <w:r>
        <w:t>approaved</w:t>
      </w:r>
      <w:proofErr w:type="spellEnd"/>
      <w:r>
        <w:t xml:space="preserve"> (See </w:t>
      </w:r>
      <w:proofErr w:type="spellStart"/>
      <w:r>
        <w:t>Renam</w:t>
      </w:r>
      <w:proofErr w:type="spellEnd"/>
      <w:r>
        <w:t xml:space="preserve"> patient View for example)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D55" w:rsidRDefault="00AD1D55" w:rsidP="00EB3AB4">
      <w:r>
        <w:separator/>
      </w:r>
    </w:p>
  </w:endnote>
  <w:endnote w:type="continuationSeparator" w:id="0">
    <w:p w:rsidR="00AD1D55" w:rsidRDefault="00AD1D55" w:rsidP="00EB3A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D55" w:rsidRDefault="00AD1D55" w:rsidP="00EB3AB4">
      <w:r>
        <w:separator/>
      </w:r>
    </w:p>
  </w:footnote>
  <w:footnote w:type="continuationSeparator" w:id="0">
    <w:p w:rsidR="00AD1D55" w:rsidRDefault="00AD1D55" w:rsidP="00EB3AB4">
      <w:r>
        <w:continuationSeparator/>
      </w:r>
    </w:p>
  </w:footnote>
  <w:footnote w:id="1">
    <w:p w:rsidR="003A4FAF" w:rsidRDefault="003A4FAF">
      <w:pPr>
        <w:pStyle w:val="FootnoteText"/>
      </w:pPr>
      <w:r>
        <w:rPr>
          <w:rStyle w:val="FootnoteReference"/>
        </w:rPr>
        <w:footnoteRef/>
      </w:r>
      <w:r>
        <w:t xml:space="preserve"> </w:t>
      </w:r>
      <w:r w:rsidRPr="00EB3AB4">
        <w:rPr>
          <w:rFonts w:cs="Calibri"/>
        </w:rPr>
        <w:t>Even with an established baseline, the data can be complicated by local factors that are independent of the disease state, for example, recent exertion or stresses specific to the patient</w:t>
      </w:r>
      <w:r>
        <w:rPr>
          <w:rFonts w:cs="Calibri"/>
        </w:rPr>
        <w:t xml:space="preserve"> [2]</w:t>
      </w:r>
      <w:r w:rsidRPr="00EB3AB4">
        <w:rPr>
          <w:rFonts w:cs="Calibri"/>
        </w:rPr>
        <w:t>.</w:t>
      </w:r>
    </w:p>
  </w:footnote>
  <w:footnote w:id="2">
    <w:p w:rsidR="003A4FAF" w:rsidRDefault="003A4FAF">
      <w:pPr>
        <w:pStyle w:val="FootnoteText"/>
      </w:pPr>
      <w:r>
        <w:rPr>
          <w:rStyle w:val="FootnoteReference"/>
        </w:rPr>
        <w:footnoteRef/>
      </w:r>
      <w:r>
        <w:t xml:space="preserve"> Anderson et al report false negatives when monitoring data is interpreted without the involvement of the patient [4].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580AE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17A203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10669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78E844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C8EC8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87CC89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1D21B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98BE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6EC5F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5EC7876"/>
    <w:lvl w:ilvl="0">
      <w:start w:val="1"/>
      <w:numFmt w:val="bullet"/>
      <w:lvlText w:val=""/>
      <w:lvlJc w:val="left"/>
      <w:pPr>
        <w:tabs>
          <w:tab w:val="num" w:pos="360"/>
        </w:tabs>
        <w:ind w:left="360" w:hanging="360"/>
      </w:pPr>
      <w:rPr>
        <w:rFonts w:ascii="Symbol" w:hAnsi="Symbol" w:hint="default"/>
      </w:rPr>
    </w:lvl>
  </w:abstractNum>
  <w:abstractNum w:abstractNumId="10">
    <w:nsid w:val="26932196"/>
    <w:multiLevelType w:val="hybridMultilevel"/>
    <w:tmpl w:val="78A23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89D375F"/>
    <w:multiLevelType w:val="hybridMultilevel"/>
    <w:tmpl w:val="00843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7474A22"/>
    <w:multiLevelType w:val="hybridMultilevel"/>
    <w:tmpl w:val="6C789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4"/>
  <w:trackRevisions/>
  <w:defaultTabStop w:val="720"/>
  <w:characterSpacingControl w:val="doNotCompress"/>
  <w:savePreviewPicture/>
  <w:footnotePr>
    <w:footnote w:id="-1"/>
    <w:footnote w:id="0"/>
  </w:footnotePr>
  <w:endnotePr>
    <w:endnote w:id="-1"/>
    <w:endnote w:id="0"/>
  </w:endnotePr>
  <w:compat/>
  <w:rsids>
    <w:rsidRoot w:val="00FE5140"/>
    <w:rsid w:val="000004EE"/>
    <w:rsid w:val="00031528"/>
    <w:rsid w:val="00051103"/>
    <w:rsid w:val="00053179"/>
    <w:rsid w:val="000A7EE8"/>
    <w:rsid w:val="000D7A74"/>
    <w:rsid w:val="00100469"/>
    <w:rsid w:val="00110D34"/>
    <w:rsid w:val="0011109D"/>
    <w:rsid w:val="00121EDB"/>
    <w:rsid w:val="001432C6"/>
    <w:rsid w:val="00143D23"/>
    <w:rsid w:val="0015734A"/>
    <w:rsid w:val="001653DD"/>
    <w:rsid w:val="0018796F"/>
    <w:rsid w:val="001959A1"/>
    <w:rsid w:val="001C5498"/>
    <w:rsid w:val="001F1ECB"/>
    <w:rsid w:val="001F4B94"/>
    <w:rsid w:val="00242C1F"/>
    <w:rsid w:val="00247209"/>
    <w:rsid w:val="002512C7"/>
    <w:rsid w:val="002B0183"/>
    <w:rsid w:val="002B69B0"/>
    <w:rsid w:val="002D269E"/>
    <w:rsid w:val="002E19E5"/>
    <w:rsid w:val="002E1D15"/>
    <w:rsid w:val="002F71A9"/>
    <w:rsid w:val="00324862"/>
    <w:rsid w:val="00332F7D"/>
    <w:rsid w:val="00344382"/>
    <w:rsid w:val="00345810"/>
    <w:rsid w:val="003A4FAF"/>
    <w:rsid w:val="003E3634"/>
    <w:rsid w:val="003E7373"/>
    <w:rsid w:val="0040327E"/>
    <w:rsid w:val="00416993"/>
    <w:rsid w:val="00417C24"/>
    <w:rsid w:val="00475D70"/>
    <w:rsid w:val="004A2FF5"/>
    <w:rsid w:val="004C74B0"/>
    <w:rsid w:val="004E0CE1"/>
    <w:rsid w:val="00500374"/>
    <w:rsid w:val="005175F5"/>
    <w:rsid w:val="0053318A"/>
    <w:rsid w:val="00574B44"/>
    <w:rsid w:val="00581A6F"/>
    <w:rsid w:val="00581D25"/>
    <w:rsid w:val="005B77D1"/>
    <w:rsid w:val="005D204C"/>
    <w:rsid w:val="005D3966"/>
    <w:rsid w:val="00617EE7"/>
    <w:rsid w:val="006372B2"/>
    <w:rsid w:val="00650E21"/>
    <w:rsid w:val="006C189A"/>
    <w:rsid w:val="006E1B26"/>
    <w:rsid w:val="006F4B85"/>
    <w:rsid w:val="00710D04"/>
    <w:rsid w:val="0071113A"/>
    <w:rsid w:val="00725CE3"/>
    <w:rsid w:val="0078698E"/>
    <w:rsid w:val="007C18B1"/>
    <w:rsid w:val="00835F05"/>
    <w:rsid w:val="00841295"/>
    <w:rsid w:val="00870CDF"/>
    <w:rsid w:val="008929DB"/>
    <w:rsid w:val="008F06F8"/>
    <w:rsid w:val="00933476"/>
    <w:rsid w:val="00993685"/>
    <w:rsid w:val="009F4FE3"/>
    <w:rsid w:val="009F58C2"/>
    <w:rsid w:val="00A31824"/>
    <w:rsid w:val="00A421D3"/>
    <w:rsid w:val="00A62B76"/>
    <w:rsid w:val="00AD1D55"/>
    <w:rsid w:val="00AE5D9A"/>
    <w:rsid w:val="00AF2A15"/>
    <w:rsid w:val="00B168A6"/>
    <w:rsid w:val="00B47F67"/>
    <w:rsid w:val="00BA1A89"/>
    <w:rsid w:val="00BB7774"/>
    <w:rsid w:val="00BC0A2E"/>
    <w:rsid w:val="00BC37B8"/>
    <w:rsid w:val="00C0365F"/>
    <w:rsid w:val="00C31D51"/>
    <w:rsid w:val="00C45EA5"/>
    <w:rsid w:val="00C505A5"/>
    <w:rsid w:val="00C5085D"/>
    <w:rsid w:val="00C60636"/>
    <w:rsid w:val="00C66DD4"/>
    <w:rsid w:val="00C9013A"/>
    <w:rsid w:val="00C9197A"/>
    <w:rsid w:val="00CC21AC"/>
    <w:rsid w:val="00D033DA"/>
    <w:rsid w:val="00D16E59"/>
    <w:rsid w:val="00D35490"/>
    <w:rsid w:val="00D35E4C"/>
    <w:rsid w:val="00D57C08"/>
    <w:rsid w:val="00D619EA"/>
    <w:rsid w:val="00D81516"/>
    <w:rsid w:val="00D8468A"/>
    <w:rsid w:val="00DF4257"/>
    <w:rsid w:val="00E060C7"/>
    <w:rsid w:val="00E3161D"/>
    <w:rsid w:val="00E52C07"/>
    <w:rsid w:val="00E67641"/>
    <w:rsid w:val="00EA5CEA"/>
    <w:rsid w:val="00EB3AB4"/>
    <w:rsid w:val="00EC7BF6"/>
    <w:rsid w:val="00EC7C94"/>
    <w:rsid w:val="00F15E99"/>
    <w:rsid w:val="00F32135"/>
    <w:rsid w:val="00FA479F"/>
    <w:rsid w:val="00FA4832"/>
    <w:rsid w:val="00FC405A"/>
    <w:rsid w:val="00FE514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C08"/>
    <w:rPr>
      <w:rFonts w:ascii="Calibri" w:hAnsi="Calibri"/>
      <w:sz w:val="22"/>
      <w:szCs w:val="24"/>
    </w:rPr>
  </w:style>
  <w:style w:type="paragraph" w:styleId="Heading1">
    <w:name w:val="heading 1"/>
    <w:basedOn w:val="Normal"/>
    <w:next w:val="Normal"/>
    <w:link w:val="Heading1Char"/>
    <w:uiPriority w:val="99"/>
    <w:qFormat/>
    <w:rsid w:val="00FE5140"/>
    <w:pPr>
      <w:keepNext/>
      <w:keepLines/>
      <w:spacing w:before="48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574B44"/>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5140"/>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574B44"/>
    <w:rPr>
      <w:rFonts w:ascii="Cambria" w:hAnsi="Cambria" w:cs="Times New Roman"/>
      <w:b/>
      <w:bCs/>
      <w:i/>
      <w:iCs/>
      <w:color w:val="4F81BD"/>
      <w:sz w:val="24"/>
      <w:szCs w:val="24"/>
    </w:rPr>
  </w:style>
  <w:style w:type="paragraph" w:styleId="ListParagraph">
    <w:name w:val="List Paragraph"/>
    <w:basedOn w:val="Normal"/>
    <w:uiPriority w:val="99"/>
    <w:qFormat/>
    <w:rsid w:val="00EC7BF6"/>
    <w:pPr>
      <w:ind w:left="720"/>
      <w:contextualSpacing/>
    </w:pPr>
  </w:style>
  <w:style w:type="character" w:styleId="Strong">
    <w:name w:val="Strong"/>
    <w:basedOn w:val="DefaultParagraphFont"/>
    <w:uiPriority w:val="99"/>
    <w:qFormat/>
    <w:rsid w:val="00574B44"/>
    <w:rPr>
      <w:rFonts w:cs="Times New Roman"/>
      <w:b/>
      <w:bCs/>
    </w:rPr>
  </w:style>
  <w:style w:type="character" w:styleId="Emphasis">
    <w:name w:val="Emphasis"/>
    <w:basedOn w:val="DefaultParagraphFont"/>
    <w:uiPriority w:val="99"/>
    <w:qFormat/>
    <w:rsid w:val="00574B44"/>
    <w:rPr>
      <w:rFonts w:cs="Times New Roman"/>
      <w:i/>
      <w:iCs/>
    </w:rPr>
  </w:style>
  <w:style w:type="paragraph" w:styleId="FootnoteText">
    <w:name w:val="footnote text"/>
    <w:basedOn w:val="Normal"/>
    <w:link w:val="FootnoteTextChar"/>
    <w:uiPriority w:val="99"/>
    <w:rsid w:val="00EB3AB4"/>
    <w:rPr>
      <w:sz w:val="20"/>
      <w:szCs w:val="20"/>
    </w:rPr>
  </w:style>
  <w:style w:type="character" w:customStyle="1" w:styleId="FootnoteTextChar">
    <w:name w:val="Footnote Text Char"/>
    <w:basedOn w:val="DefaultParagraphFont"/>
    <w:link w:val="FootnoteText"/>
    <w:uiPriority w:val="99"/>
    <w:locked/>
    <w:rsid w:val="00EB3AB4"/>
    <w:rPr>
      <w:rFonts w:ascii="Calibri" w:hAnsi="Calibri" w:cs="Times New Roman"/>
    </w:rPr>
  </w:style>
  <w:style w:type="character" w:styleId="FootnoteReference">
    <w:name w:val="footnote reference"/>
    <w:basedOn w:val="DefaultParagraphFont"/>
    <w:uiPriority w:val="99"/>
    <w:rsid w:val="00EB3AB4"/>
    <w:rPr>
      <w:rFonts w:cs="Times New Roman"/>
      <w:vertAlign w:val="superscript"/>
    </w:rPr>
  </w:style>
  <w:style w:type="character" w:styleId="Hyperlink">
    <w:name w:val="Hyperlink"/>
    <w:basedOn w:val="DefaultParagraphFont"/>
    <w:uiPriority w:val="99"/>
    <w:rsid w:val="00F15E99"/>
    <w:rPr>
      <w:rFonts w:cs="Times New Roman"/>
      <w:color w:val="0000FF"/>
      <w:u w:val="single"/>
    </w:rPr>
  </w:style>
  <w:style w:type="character" w:styleId="CommentReference">
    <w:name w:val="annotation reference"/>
    <w:basedOn w:val="DefaultParagraphFont"/>
    <w:uiPriority w:val="99"/>
    <w:semiHidden/>
    <w:unhideWhenUsed/>
    <w:rsid w:val="00247209"/>
    <w:rPr>
      <w:sz w:val="16"/>
      <w:szCs w:val="16"/>
    </w:rPr>
  </w:style>
  <w:style w:type="paragraph" w:styleId="CommentText">
    <w:name w:val="annotation text"/>
    <w:basedOn w:val="Normal"/>
    <w:link w:val="CommentTextChar"/>
    <w:uiPriority w:val="99"/>
    <w:semiHidden/>
    <w:unhideWhenUsed/>
    <w:rsid w:val="00247209"/>
    <w:rPr>
      <w:sz w:val="20"/>
      <w:szCs w:val="20"/>
    </w:rPr>
  </w:style>
  <w:style w:type="character" w:customStyle="1" w:styleId="CommentTextChar">
    <w:name w:val="Comment Text Char"/>
    <w:basedOn w:val="DefaultParagraphFont"/>
    <w:link w:val="CommentText"/>
    <w:uiPriority w:val="99"/>
    <w:semiHidden/>
    <w:rsid w:val="00247209"/>
    <w:rPr>
      <w:rFonts w:ascii="Calibri" w:hAnsi="Calibri"/>
    </w:rPr>
  </w:style>
  <w:style w:type="paragraph" w:styleId="CommentSubject">
    <w:name w:val="annotation subject"/>
    <w:basedOn w:val="CommentText"/>
    <w:next w:val="CommentText"/>
    <w:link w:val="CommentSubjectChar"/>
    <w:uiPriority w:val="99"/>
    <w:semiHidden/>
    <w:unhideWhenUsed/>
    <w:rsid w:val="00247209"/>
    <w:rPr>
      <w:b/>
      <w:bCs/>
    </w:rPr>
  </w:style>
  <w:style w:type="character" w:customStyle="1" w:styleId="CommentSubjectChar">
    <w:name w:val="Comment Subject Char"/>
    <w:basedOn w:val="CommentTextChar"/>
    <w:link w:val="CommentSubject"/>
    <w:uiPriority w:val="99"/>
    <w:semiHidden/>
    <w:rsid w:val="00247209"/>
    <w:rPr>
      <w:b/>
      <w:bCs/>
    </w:rPr>
  </w:style>
  <w:style w:type="paragraph" w:styleId="BalloonText">
    <w:name w:val="Balloon Text"/>
    <w:basedOn w:val="Normal"/>
    <w:link w:val="BalloonTextChar"/>
    <w:uiPriority w:val="99"/>
    <w:semiHidden/>
    <w:unhideWhenUsed/>
    <w:rsid w:val="00247209"/>
    <w:rPr>
      <w:rFonts w:ascii="Tahoma" w:hAnsi="Tahoma" w:cs="Tahoma"/>
      <w:sz w:val="16"/>
      <w:szCs w:val="16"/>
    </w:rPr>
  </w:style>
  <w:style w:type="character" w:customStyle="1" w:styleId="BalloonTextChar">
    <w:name w:val="Balloon Text Char"/>
    <w:basedOn w:val="DefaultParagraphFont"/>
    <w:link w:val="BalloonText"/>
    <w:uiPriority w:val="99"/>
    <w:semiHidden/>
    <w:rsid w:val="002472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59415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cholarship.org/uc/item/19h777qd"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1454</Words>
  <Characters>8290</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Social signal processing for telemonitoring.</vt:lpstr>
    </vt:vector>
  </TitlesOfParts>
  <Company/>
  <LinksUpToDate>false</LinksUpToDate>
  <CharactersWithSpaces>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jenny</cp:lastModifiedBy>
  <cp:revision>2</cp:revision>
  <cp:lastPrinted>2012-09-01T16:58:00Z</cp:lastPrinted>
  <dcterms:created xsi:type="dcterms:W3CDTF">2012-09-19T10:03:00Z</dcterms:created>
  <dcterms:modified xsi:type="dcterms:W3CDTF">2012-09-19T10:03:00Z</dcterms:modified>
</cp:coreProperties>
</file>